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5926"/>
        </w:tabs>
        <w:spacing w:before="1" w:lineRule="auto"/>
        <w:ind w:left="2" w:firstLine="0"/>
        <w:jc w:val="both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  <w:t xml:space="preserve">Nr postępowania : ___/__/____</w:t>
        <w:tab/>
        <w:t xml:space="preserve">Załącznik nr 2.1 do SWZ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1" w:lineRule="auto"/>
        <w:ind w:left="3" w:right="735"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KARTA GWARANCYJNA</w:t>
      </w:r>
    </w:p>
    <w:p w:rsidR="00000000" w:rsidDel="00000000" w:rsidP="00000000" w:rsidRDefault="00000000" w:rsidRPr="00000000" w14:paraId="00000007">
      <w:pPr>
        <w:spacing w:before="132" w:lineRule="auto"/>
        <w:ind w:right="735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(Gwarancja jakości)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2" w:right="138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na wykonanie robót budowlanych dla zadania pn,, Przebudowa sieci wodociągowej w miejscowości Krapkowice ul. Limanowskiego w rejonie od skrzyżowania ul. Konopnickiej z ul. Krasińskiego do wysokości posesji nr 51”. zgodnie z Umową nr…………………………….. zawartą pomiędzy Gwarantem a Zamawiającym (zwana dalej „Umową”).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7788"/>
        </w:tabs>
        <w:ind w:left="2" w:firstLine="0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Gwarantem jest:</w:t>
        <w:tab/>
      </w:r>
      <w:r w:rsidDel="00000000" w:rsidR="00000000" w:rsidRPr="00000000">
        <w:rPr>
          <w:sz w:val="24"/>
          <w:szCs w:val="24"/>
          <w:rtl w:val="0"/>
        </w:rPr>
        <w:t xml:space="preserve">dalej „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Gwarant”</w:t>
      </w:r>
    </w:p>
    <w:p w:rsidR="00000000" w:rsidDel="00000000" w:rsidP="00000000" w:rsidRDefault="00000000" w:rsidRPr="00000000" w14:paraId="0000000C">
      <w:pPr>
        <w:pStyle w:val="Heading1"/>
        <w:spacing w:before="132" w:lineRule="auto"/>
        <w:ind w:firstLine="2"/>
        <w:rPr/>
      </w:pPr>
      <w:r w:rsidDel="00000000" w:rsidR="00000000" w:rsidRPr="00000000">
        <w:rPr>
          <w:rtl w:val="0"/>
        </w:rPr>
        <w:t xml:space="preserve">Uprawnionym z tytułu gwarancji jakości (dalej w treści niniejszej Karty Gwarancyjnej:</w:t>
      </w:r>
    </w:p>
    <w:p w:rsidR="00000000" w:rsidDel="00000000" w:rsidP="00000000" w:rsidRDefault="00000000" w:rsidRPr="00000000" w14:paraId="0000000D">
      <w:pPr>
        <w:spacing w:before="132" w:lineRule="auto"/>
        <w:ind w:left="2" w:firstLine="0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„Gwarancja”)  </w:t>
      </w:r>
      <w:r w:rsidDel="00000000" w:rsidR="00000000" w:rsidRPr="00000000">
        <w:rPr>
          <w:sz w:val="24"/>
          <w:szCs w:val="24"/>
          <w:rtl w:val="0"/>
        </w:rPr>
        <w:t xml:space="preserve">jest  :…………………………………………………………………..zwany  dalej</w:t>
      </w:r>
    </w:p>
    <w:p w:rsidR="00000000" w:rsidDel="00000000" w:rsidP="00000000" w:rsidRDefault="00000000" w:rsidRPr="00000000" w14:paraId="0000000E">
      <w:pPr>
        <w:pStyle w:val="Heading1"/>
        <w:spacing w:before="133" w:lineRule="auto"/>
        <w:ind w:firstLine="2"/>
        <w:rPr/>
      </w:pPr>
      <w:r w:rsidDel="00000000" w:rsidR="00000000" w:rsidRPr="00000000">
        <w:rPr>
          <w:rtl w:val="0"/>
        </w:rPr>
        <w:t xml:space="preserve">„Zamawiającym”.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55" w:lineRule="auto"/>
        <w:ind w:left="2" w:right="742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Wszelkie pojęcia użyte w niniejszej Karcie pisane z wielkiej litery mają znaczenia nadane im w Umowie, chyba, że co innego wynika wprost z treści Karty Gwarancyjnej.</w:t>
      </w:r>
    </w:p>
    <w:p w:rsidR="00000000" w:rsidDel="00000000" w:rsidP="00000000" w:rsidRDefault="00000000" w:rsidRPr="00000000" w14:paraId="00000011">
      <w:pPr>
        <w:pStyle w:val="Heading1"/>
        <w:numPr>
          <w:ilvl w:val="0"/>
          <w:numId w:val="6"/>
        </w:numPr>
        <w:tabs>
          <w:tab w:val="left" w:leader="none" w:pos="182"/>
        </w:tabs>
        <w:spacing w:line="275" w:lineRule="auto"/>
        <w:ind w:left="182" w:hanging="180"/>
        <w:jc w:val="both"/>
        <w:rPr/>
      </w:pPr>
      <w:r w:rsidDel="00000000" w:rsidR="00000000" w:rsidRPr="00000000">
        <w:rPr>
          <w:rtl w:val="0"/>
        </w:rPr>
        <w:t xml:space="preserve">Przedmiot i termin gwarancji.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2"/>
        </w:tabs>
        <w:spacing w:after="0" w:before="132" w:line="240" w:lineRule="auto"/>
        <w:ind w:left="422" w:right="0" w:hanging="42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Niniejsza gwarancja obejmuje całość przedmiotu Umowy nr ……………. (zwanego dalej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2" w:line="240" w:lineRule="auto"/>
        <w:ind w:left="2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„Przedmiotem Umowy”)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3"/>
        </w:tabs>
        <w:spacing w:after="0" w:before="132" w:line="355" w:lineRule="auto"/>
        <w:ind w:left="2" w:right="74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Gwarant odpowiada wobec Zamawiającego z tytułu niniejszej Gwarancji za cały Przedmiot Umowy.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3"/>
        </w:tabs>
        <w:spacing w:after="0" w:before="0" w:line="355" w:lineRule="auto"/>
        <w:ind w:left="2" w:right="733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Termin gwarancji wynosi ……….. …………Bieg terminu gwarancji rozpoczyna się od daty podpisania Protokołu Odbioru Końcowego Robót objętych Przedmiotem Umowy przez obie Strony bez zastrzeżeń.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86"/>
        </w:tabs>
        <w:spacing w:after="0" w:before="0" w:line="355" w:lineRule="auto"/>
        <w:ind w:left="2" w:right="737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Ilekroć w dalszych postanowieniach jest mowa o „usunięciu wady” należy przez to rozumieć również wymianę rzeczy wchodzącej w zakres Przedmiotu Umowy na rzecz wolną od wad.</w:t>
      </w:r>
    </w:p>
    <w:p w:rsidR="00000000" w:rsidDel="00000000" w:rsidP="00000000" w:rsidRDefault="00000000" w:rsidRPr="00000000" w14:paraId="00000017">
      <w:pPr>
        <w:pStyle w:val="Heading1"/>
        <w:numPr>
          <w:ilvl w:val="0"/>
          <w:numId w:val="6"/>
        </w:numPr>
        <w:tabs>
          <w:tab w:val="left" w:leader="none" w:pos="180"/>
        </w:tabs>
        <w:spacing w:line="275" w:lineRule="auto"/>
        <w:ind w:left="180" w:hanging="178"/>
        <w:rPr/>
      </w:pPr>
      <w:r w:rsidDel="00000000" w:rsidR="00000000" w:rsidRPr="00000000">
        <w:rPr>
          <w:rtl w:val="0"/>
        </w:rPr>
        <w:t xml:space="preserve">Obowiązki i uprawnienia Stron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02"/>
        </w:tabs>
        <w:spacing w:after="0" w:before="130" w:line="355" w:lineRule="auto"/>
        <w:ind w:left="2" w:right="735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przypadku wystąpienia jakiejkolwiek wady w Przedmiocie Umowy Zamawiający uprawniony jest do: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7"/>
        </w:tabs>
        <w:spacing w:after="0" w:before="0" w:line="275" w:lineRule="auto"/>
        <w:ind w:left="187" w:right="0" w:hanging="185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headerReference r:id="rId7" w:type="default"/>
          <w:pgSz w:h="16840" w:w="11910" w:orient="portrait"/>
          <w:pgMar w:bottom="1260" w:top="2220" w:left="850" w:right="708" w:header="0" w:footer="1064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żądania usunięcia wady Przedmiotu Umowy, a w przypadku, gdy dana rzecz wchodząca w zakres</w:t>
      </w:r>
    </w:p>
    <w:p w:rsidR="00000000" w:rsidDel="00000000" w:rsidP="00000000" w:rsidRDefault="00000000" w:rsidRPr="00000000" w14:paraId="0000001A">
      <w:pPr>
        <w:spacing w:before="31" w:line="183" w:lineRule="auto"/>
        <w:ind w:left="543" w:firstLine="0"/>
        <w:rPr>
          <w:rFonts w:ascii="Arial" w:cs="Arial" w:eastAsia="Arial" w:hAnsi="Arial"/>
          <w:sz w:val="16"/>
          <w:szCs w:val="16"/>
        </w:rPr>
        <w:sectPr>
          <w:type w:val="continuous"/>
          <w:pgSz w:h="16840" w:w="11910" w:orient="portrait"/>
          <w:pgMar w:bottom="1260" w:top="2220" w:left="850" w:right="708" w:header="0" w:footer="1064"/>
          <w:cols w:equalWidth="0" w:num="4">
            <w:col w:space="39" w:w="2558.75"/>
            <w:col w:space="39" w:w="2558.75"/>
            <w:col w:space="39" w:w="2558.75"/>
            <w:col w:space="0" w:w="2558.75"/>
          </w:cols>
        </w:sectPr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55" w:lineRule="auto"/>
        <w:ind w:left="2" w:right="74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Przedmiotu Umowy była już dwukrotnie naprawiana lub jedynym sposobem skutecznego usunięcia wady jest wymiana rzeczy – do żądania wymiany tej rzeczy na nową, wolną od wad, lub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99"/>
        </w:tabs>
        <w:spacing w:after="0" w:before="0" w:line="355" w:lineRule="auto"/>
        <w:ind w:left="2" w:right="73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wskazania trybu usunięcia wady/wymiany rzeczy na wolną od wad, wg trybów wskazanych w punkcie 4, lub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7"/>
        </w:tabs>
        <w:spacing w:after="0" w:before="0" w:line="355" w:lineRule="auto"/>
        <w:ind w:left="2" w:right="741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żądania od Gwaranta odszkodowania za szkodę jakiej doznał Zamawiający lub osoby trzecie na skutek wystąpienia wad, lub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01"/>
        </w:tabs>
        <w:spacing w:after="0" w:before="0" w:line="355" w:lineRule="auto"/>
        <w:ind w:left="2" w:right="733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żądania od Gwaranta kary umownej za nieterminowe usunięcie wad / wymianę rzeczy na wolną od wad w wysokości 0,2 % wartości umowy brutto określonej w § 10 ust. 1 Umowy za każdy dzień zwłoki, lub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7"/>
        </w:tabs>
        <w:spacing w:after="0" w:before="0" w:line="355" w:lineRule="auto"/>
        <w:ind w:left="2" w:right="736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żądania od Gwaranta uzupełniającego odszkodowania za nieterminowe usunięcie wad/wymianę rzeczy na wolne od wad w wysokości przewyższającej kwotę kary umownej, o której mowa w lit. d).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02"/>
        </w:tabs>
        <w:spacing w:after="0" w:before="0" w:line="355" w:lineRule="auto"/>
        <w:ind w:left="2" w:right="735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przypadku wystąpienia jakiejkolwiek wady w Przedmiocie Umowy Gwarant jest zobowiązany do: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7"/>
        </w:tabs>
        <w:spacing w:after="0" w:before="0" w:line="355" w:lineRule="auto"/>
        <w:ind w:left="2" w:right="737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terminowego spełnienia żądania Zamawiającego dotyczącego usunięcia wady, przy czym usunięcie wad lub usterek polegać będzie na wymianie rzeczy na nową, wolną od wad i usterek, chyba że ZAMAWIAJĄCY wyrazi na piśmie zgodę na usunięcie wad i usterek poprzez naprawę rzeczy, lub do :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01"/>
        </w:tabs>
        <w:spacing w:after="0" w:before="0" w:line="274" w:lineRule="auto"/>
        <w:ind w:left="201" w:right="0" w:hanging="199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zapłaty odszkodowania, o którym mowa w punkcie 2.1.c); lub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7"/>
        </w:tabs>
        <w:spacing w:after="0" w:before="127" w:line="240" w:lineRule="auto"/>
        <w:ind w:left="187" w:right="0" w:hanging="185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zapłaty kary umownej, o której mowa w punkcie 2.1.d); lub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01"/>
        </w:tabs>
        <w:spacing w:after="0" w:before="132" w:line="240" w:lineRule="auto"/>
        <w:ind w:left="201" w:right="0" w:hanging="199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zapłaty odszkodowania, o którym w punkcie 2.1.e).</w:t>
      </w:r>
    </w:p>
    <w:p w:rsidR="00000000" w:rsidDel="00000000" w:rsidP="00000000" w:rsidRDefault="00000000" w:rsidRPr="00000000" w14:paraId="00000028">
      <w:pPr>
        <w:pStyle w:val="Heading1"/>
        <w:numPr>
          <w:ilvl w:val="0"/>
          <w:numId w:val="6"/>
        </w:numPr>
        <w:tabs>
          <w:tab w:val="left" w:leader="none" w:pos="182"/>
        </w:tabs>
        <w:spacing w:before="132" w:lineRule="auto"/>
        <w:ind w:left="182" w:hanging="180"/>
        <w:rPr/>
      </w:pPr>
      <w:r w:rsidDel="00000000" w:rsidR="00000000" w:rsidRPr="00000000">
        <w:rPr>
          <w:rtl w:val="0"/>
        </w:rPr>
        <w:t xml:space="preserve">Wezwanie do usunięcia wady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2" w:line="355" w:lineRule="auto"/>
        <w:ind w:left="2" w:right="731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przypadku ujawnienia się wady, Zamawiający niezwłocznie, zawiadomi o niej Gwaranta telefonicznie lub e-mailem, z potwierdzeniem na piśmie w najbliższym możliwym terminie, równocześnie wzywając go do usunięcia ujawnionej wady w odpowiednim trybie: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5"/>
        </w:tabs>
        <w:spacing w:after="0" w:before="0" w:line="355" w:lineRule="auto"/>
        <w:ind w:left="2" w:right="6196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zwykłym, o którym mowa w punkcie 4.1. lub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5"/>
        </w:tabs>
        <w:spacing w:after="0" w:before="0" w:line="275" w:lineRule="auto"/>
        <w:ind w:left="145" w:right="0" w:hanging="143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awaryjnym, o którym mowa w punkcie 4.2.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1" w:line="240" w:lineRule="auto"/>
        <w:ind w:left="2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10" w:orient="portrait"/>
          <w:pgMar w:bottom="1260" w:top="2220" w:left="850" w:right="708" w:header="0" w:footer="1064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Gwarant powiadomi pisemnie Zamawiającego o usunięciu wady.</w:t>
      </w:r>
    </w:p>
    <w:p w:rsidR="00000000" w:rsidDel="00000000" w:rsidP="00000000" w:rsidRDefault="00000000" w:rsidRPr="00000000" w14:paraId="0000002D">
      <w:pPr>
        <w:jc w:val="right"/>
        <w:rPr>
          <w:rFonts w:ascii="Arial" w:cs="Arial" w:eastAsia="Arial" w:hAnsi="Arial"/>
          <w:sz w:val="16"/>
          <w:szCs w:val="16"/>
        </w:rPr>
        <w:sectPr>
          <w:type w:val="continuous"/>
          <w:pgSz w:h="16840" w:w="11910" w:orient="portrait"/>
          <w:pgMar w:bottom="1260" w:top="2220" w:left="850" w:right="708" w:header="0" w:footer="1064"/>
          <w:cols w:equalWidth="0" w:num="4">
            <w:col w:space="39" w:w="2558.75"/>
            <w:col w:space="39" w:w="2558.75"/>
            <w:col w:space="39" w:w="2558.75"/>
            <w:col w:space="0" w:w="2558.75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2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1"/>
        <w:numPr>
          <w:ilvl w:val="0"/>
          <w:numId w:val="6"/>
        </w:numPr>
        <w:tabs>
          <w:tab w:val="left" w:leader="none" w:pos="182"/>
        </w:tabs>
        <w:spacing w:before="1" w:lineRule="auto"/>
        <w:ind w:left="182" w:hanging="180"/>
        <w:jc w:val="both"/>
        <w:rPr/>
      </w:pPr>
      <w:r w:rsidDel="00000000" w:rsidR="00000000" w:rsidRPr="00000000">
        <w:rPr>
          <w:rtl w:val="0"/>
        </w:rPr>
        <w:t xml:space="preserve">Tryby usuwania wad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99"/>
        </w:tabs>
        <w:spacing w:after="0" w:before="132" w:line="355" w:lineRule="auto"/>
        <w:ind w:left="2" w:right="734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Gwarant obowiązany jest przystąpić do usuwania ujawnionej wady w ciągu 48 godzin od daty otrzymania wezwania, o którym mowa w punkcie 3. Termin usuwania wad nie może być dłuższy niż 7 dni roboczych od daty otrzymania wezwania (tryb zwykły). Strony mogą przedłużyć termin usunięcia wady w przypadku gdy usunięcie jej w terminie 7 dni roboczych jest niemożliwe z przyczyn niezależnych od Wykonawcy. W każdym przypadku na przedłużenie terminu wymagana jest zgoda Zamawiającego.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8"/>
        </w:tabs>
        <w:spacing w:after="0" w:before="0" w:line="355" w:lineRule="auto"/>
        <w:ind w:left="2" w:right="737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razie niespełnienia warunku określonego w pkt 4.1, wada zostanie usunięta przez Zamawiającego lub podmiot trzeci na zlecenie Zamawiającego, a Gwarant zostanie obciążony ryzykiem i kosztami takiej naprawy. Zamawiający w takim przypadku zachowuje wszelkie prawa wynikające z niniejszej gwarancji.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02"/>
        </w:tabs>
        <w:spacing w:after="0" w:before="0" w:line="355" w:lineRule="auto"/>
        <w:ind w:left="2" w:right="735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uzasadnionych przypadkach, ustala się następujący tryb usuwania wady (tryb awaryjny):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7"/>
        </w:tabs>
        <w:spacing w:after="0" w:before="0" w:line="355" w:lineRule="auto"/>
        <w:ind w:left="2" w:right="73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Zamawiający powiadomi Gwaranta o ujawnionej wadzie niezwłocznie po jej wystąpieniu zgodnie z zapisami dotyczącymi komunikacji,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01"/>
        </w:tabs>
        <w:spacing w:after="0" w:before="0" w:line="355" w:lineRule="auto"/>
        <w:ind w:left="2" w:right="73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ciągu 24 godzin od powiadomienia o ujawnionej wadzie Gwarant udzieli odpowiedzi, kiedy i w jaki sposób przystąpi do usuwania wady.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6"/>
        </w:tabs>
        <w:spacing w:after="0" w:before="0" w:line="355" w:lineRule="auto"/>
        <w:ind w:left="2" w:right="734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Gwarant usuwanie wadę w ustalonym między Zamawiającym i Gwarantem terminie nie dłuższym niż 3 dni robocze.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01"/>
        </w:tabs>
        <w:spacing w:after="0" w:before="0" w:line="355" w:lineRule="auto"/>
        <w:ind w:left="2" w:right="737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Jeżeli Gwarant nie udzieli odpowiedzi, zgodnie z lit. b, lub nie uzyska akceptacji Zamawiającego co do zaproponowanego przez siebie sposobu i terminu naprawy to wada zostanie usunięta przez Zamawiającego lub podmiot trzeci na zlecenie Zamawiającego, a Gwarant zostanie obciążony ryzykiem i kosztami takiej naprawy.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99"/>
        </w:tabs>
        <w:spacing w:after="0" w:before="0" w:line="275" w:lineRule="auto"/>
        <w:ind w:left="299" w:right="0" w:hanging="297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Gwarant nie może odmówić usuwania wad w okresie gwarancji, bez względu na wysokość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4" w:line="240" w:lineRule="auto"/>
        <w:ind w:left="2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10" w:orient="portrait"/>
          <w:pgMar w:bottom="1260" w:top="2220" w:left="850" w:right="708" w:header="0" w:footer="1064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związanych z tym kosztów.</w:t>
      </w:r>
    </w:p>
    <w:p w:rsidR="00000000" w:rsidDel="00000000" w:rsidP="00000000" w:rsidRDefault="00000000" w:rsidRPr="00000000" w14:paraId="0000003C">
      <w:pPr>
        <w:jc w:val="right"/>
        <w:rPr>
          <w:rFonts w:ascii="Arial" w:cs="Arial" w:eastAsia="Arial" w:hAnsi="Arial"/>
          <w:sz w:val="16"/>
          <w:szCs w:val="16"/>
        </w:rPr>
        <w:sectPr>
          <w:type w:val="continuous"/>
          <w:pgSz w:h="16840" w:w="11910" w:orient="portrait"/>
          <w:pgMar w:bottom="1260" w:top="2220" w:left="850" w:right="708" w:header="0" w:footer="1064"/>
          <w:cols w:equalWidth="0" w:num="4">
            <w:col w:space="39" w:w="2558.75"/>
            <w:col w:space="39" w:w="2558.75"/>
            <w:col w:space="39" w:w="2558.75"/>
            <w:col w:space="0" w:w="2558.75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52"/>
        </w:tabs>
        <w:spacing w:after="0" w:before="1" w:line="355" w:lineRule="auto"/>
        <w:ind w:left="2" w:right="73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Usuniecie wad w trybie awaryjnym przez Zamawiającego lub wyznaczony przez Zamawiającego podmiot trzeci, nie spowoduje utraty żadnych uprawnień gwarancyjnych.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2"/>
        </w:tabs>
        <w:spacing w:after="0" w:before="0" w:line="355" w:lineRule="auto"/>
        <w:ind w:left="2" w:right="734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Usunięcie wad uważa się za skutecznie dokonane z chwilą podpisania przez obie Strony Protokołu odbioru prac/robót z usuwania wad.</w:t>
      </w:r>
    </w:p>
    <w:p w:rsidR="00000000" w:rsidDel="00000000" w:rsidP="00000000" w:rsidRDefault="00000000" w:rsidRPr="00000000" w14:paraId="00000042">
      <w:pPr>
        <w:pStyle w:val="Heading1"/>
        <w:numPr>
          <w:ilvl w:val="0"/>
          <w:numId w:val="6"/>
        </w:numPr>
        <w:tabs>
          <w:tab w:val="left" w:leader="none" w:pos="710"/>
        </w:tabs>
        <w:spacing w:line="276" w:lineRule="auto"/>
        <w:ind w:left="710" w:hanging="708"/>
        <w:rPr/>
      </w:pPr>
      <w:r w:rsidDel="00000000" w:rsidR="00000000" w:rsidRPr="00000000">
        <w:rPr>
          <w:rtl w:val="0"/>
        </w:rPr>
        <w:t xml:space="preserve">Komunikacja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2"/>
        </w:tabs>
        <w:spacing w:after="0" w:before="131" w:line="240" w:lineRule="auto"/>
        <w:ind w:left="362" w:right="0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Wszelka komunikacja pomiędzy Stronami wymaga zachowania formy pisemnej.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02"/>
        </w:tabs>
        <w:spacing w:after="0" w:before="132" w:line="355" w:lineRule="auto"/>
        <w:ind w:left="2" w:right="732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Komunikacja za pomocą telefonu lub poczty elektronicznej (e-mail) będzie uważana za prowadzoną w formie pisemnej, o ile treść rozmowy telefonicznej lub telefaksu lub e-mail zostanie niezwłocznie potwierdzona na piśmie, tj. poprzez nadanie w dniu roboczym, następującym po dniu przeprowadzenia rozmowy telefonicznej, wysłania telefaksu lub e-mail, listu poleconego potwierdzającego treść rozmowy telefonicznej lub telefaksu lub e-mail.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02"/>
        </w:tabs>
        <w:spacing w:after="0" w:before="0" w:line="355" w:lineRule="auto"/>
        <w:ind w:left="2" w:right="734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Podczas stosowania wezwania do usuwania wad w trybie awaryjnym zgodnie z punktem 4.3 Zamawiający sporządzi protokół zawierający chronologiczny zapis wydarzeń związanych z wezwaniem Gwaranta do usunięcia wady. Protokół zostanie przesłany Gwarantowi, zgodnie z pkt 5.2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8"/>
        </w:tabs>
        <w:spacing w:after="0" w:before="0" w:line="355" w:lineRule="auto"/>
        <w:ind w:left="2" w:right="736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Nieodebranie albo odmowa odebrania listu poleconego lub innej korespondencji pisemnej, będzie traktowane jako równoważne z jego doręczeniem.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2"/>
        </w:tabs>
        <w:spacing w:after="0" w:before="0" w:line="275" w:lineRule="auto"/>
        <w:ind w:left="362" w:right="0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Wszelkie pisma skierowane do Gwaranta należy wysyłać na adres: …………………………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52"/>
        </w:tabs>
        <w:spacing w:after="0" w:before="128" w:line="240" w:lineRule="auto"/>
        <w:ind w:left="352" w:right="0" w:hanging="35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Wszelkie pisma skierowane do Zamawiającego należy wysyłać na adres: ………………………..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72"/>
        </w:tabs>
        <w:spacing w:after="0" w:before="133" w:line="355" w:lineRule="auto"/>
        <w:ind w:left="2" w:right="738" w:firstLine="0"/>
        <w:jc w:val="both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zmianach danych adresowych, o których mowa w punktach 5.5. i 5.6. Strony obowiązane są informować się niezwłocznie, nie później niż 7 dni kalendarzowych od chwili zaistnienia zmian, pod rygorem uznania wysłania korespondencji pod ostatnio znany adres za skutecznie doręczoną.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6.Postanowienia końcowe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</w:tabs>
        <w:spacing w:after="0" w:before="0" w:line="355" w:lineRule="auto"/>
        <w:ind w:left="2" w:right="734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Gwarancja biegnie na nowo poczynając od dnia usunięcia wady zgłoszonej w okresie gwarancji. Gwarant ponosi pełną odpowiedzialność cywilnoprawną i finansową za skutki i następstwa wad i awarii powstałych w okresie (terminie) gwarancji lub rękojmi, spowodowanych niewłaściwą jakością wykonanych robót, w tym za zastosowanie niewłaściwych materiałów (wady materiałowe) i urządzeń oraz niewłaściwych technologii  w ramach realizacji Przedmiotu Umowy.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86"/>
        </w:tabs>
        <w:spacing w:after="0" w:before="0" w:line="274" w:lineRule="auto"/>
        <w:ind w:left="386" w:right="0" w:hanging="384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10" w:orient="portrait"/>
          <w:pgMar w:bottom="1260" w:top="2220" w:left="850" w:right="708" w:header="0" w:footer="1064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sprawach nieuregulowanych niniejszą Kartą Gwarancyjną zastosowanie mają odpowiednie</w:t>
      </w:r>
    </w:p>
    <w:p w:rsidR="00000000" w:rsidDel="00000000" w:rsidP="00000000" w:rsidRDefault="00000000" w:rsidRPr="00000000" w14:paraId="0000004C">
      <w:pPr>
        <w:jc w:val="right"/>
        <w:rPr>
          <w:rFonts w:ascii="Arial" w:cs="Arial" w:eastAsia="Arial" w:hAnsi="Arial"/>
          <w:sz w:val="16"/>
          <w:szCs w:val="16"/>
        </w:rPr>
        <w:sectPr>
          <w:type w:val="continuous"/>
          <w:pgSz w:h="16840" w:w="11910" w:orient="portrait"/>
          <w:pgMar w:bottom="1260" w:top="2220" w:left="850" w:right="708" w:header="0" w:footer="1064"/>
          <w:cols w:equalWidth="0" w:num="4">
            <w:col w:space="39" w:w="2558.75"/>
            <w:col w:space="39" w:w="2558.75"/>
            <w:col w:space="39" w:w="2558.75"/>
            <w:col w:space="0" w:w="2558.75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88"/>
          <w:tab w:val="left" w:leader="none" w:pos="1951"/>
          <w:tab w:val="left" w:leader="none" w:pos="3222"/>
          <w:tab w:val="left" w:leader="none" w:pos="3670"/>
          <w:tab w:val="left" w:leader="none" w:pos="5280"/>
          <w:tab w:val="left" w:leader="none" w:pos="6408"/>
          <w:tab w:val="left" w:leader="none" w:pos="7685"/>
          <w:tab w:val="left" w:leader="none" w:pos="8371"/>
          <w:tab w:val="left" w:leader="none" w:pos="9407"/>
        </w:tabs>
        <w:spacing w:after="0" w:before="1" w:line="240" w:lineRule="auto"/>
        <w:ind w:left="2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przepisy</w:t>
        <w:tab/>
        <w:t xml:space="preserve">prawa</w:t>
        <w:tab/>
        <w:t xml:space="preserve">polskiego,</w:t>
        <w:tab/>
        <w:t xml:space="preserve">w</w:t>
        <w:tab/>
        <w:t xml:space="preserve">szczególności</w:t>
        <w:tab/>
        <w:t xml:space="preserve">Kodeksu</w:t>
        <w:tab/>
        <w:t xml:space="preserve">cywilnego</w:t>
        <w:tab/>
        <w:t xml:space="preserve">oraz</w:t>
        <w:tab/>
        <w:t xml:space="preserve">Umowa</w:t>
        <w:tab/>
        <w:t xml:space="preserve">nr</w:t>
      </w:r>
    </w:p>
    <w:p w:rsidR="00000000" w:rsidDel="00000000" w:rsidP="00000000" w:rsidRDefault="00000000" w:rsidRPr="00000000" w14:paraId="00000051">
      <w:pPr>
        <w:spacing w:before="132" w:lineRule="auto"/>
        <w:ind w:left="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……………………..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2"/>
        </w:tabs>
        <w:spacing w:after="0" w:before="132" w:line="240" w:lineRule="auto"/>
        <w:ind w:left="362" w:right="0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Niniejsza Karta Gwarancyjna jest integralną częścią Umowy.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32"/>
        </w:tabs>
        <w:spacing w:after="0" w:before="132" w:line="355" w:lineRule="auto"/>
        <w:ind w:left="2" w:right="735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Wszelkie zmiany niniejszej Karty Gwarancyjnej wymagają formy pisemnej pod rygorem nieważności.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962" w:firstLine="0"/>
        <w:jc w:val="righ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GWARANT: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rebuchet MS" w:cs="Trebuchet MS" w:eastAsia="Trebuchet MS" w:hAnsi="Trebuchet M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9" w:line="240" w:lineRule="auto"/>
        <w:ind w:left="0" w:right="0" w:firstLine="0"/>
        <w:jc w:val="left"/>
        <w:rPr>
          <w:rFonts w:ascii="Trebuchet MS" w:cs="Trebuchet MS" w:eastAsia="Trebuchet MS" w:hAnsi="Trebuchet M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type w:val="nextPage"/>
          <w:pgSz w:h="16840" w:w="11910" w:orient="portrait"/>
          <w:pgMar w:bottom="1260" w:top="2220" w:left="850" w:right="708" w:header="0" w:footer="1064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before="1" w:lineRule="auto"/>
        <w:ind w:right="879"/>
        <w:jc w:val="right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1260" w:top="2220" w:left="850" w:right="708" w:header="0" w:footer="1064"/>
      <w:cols w:equalWidth="0" w:num="4">
        <w:col w:space="39" w:w="2558.75"/>
        <w:col w:space="39" w:w="2558.75"/>
        <w:col w:space="39" w:w="2558.75"/>
        <w:col w:space="0" w:w="2558.75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Arial"/>
  <w:font w:name="Trebuchet M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B">
    <w:pPr>
      <w:widowControl w:val="1"/>
      <w:tabs>
        <w:tab w:val="center" w:leader="none" w:pos="4536"/>
        <w:tab w:val="left" w:leader="none" w:pos="6828"/>
      </w:tabs>
      <w:spacing w:after="120" w:lineRule="auto"/>
      <w:ind w:left="1275" w:hanging="1133"/>
      <w:jc w:val="center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1066800</wp:posOffset>
          </wp:positionH>
          <wp:positionV relativeFrom="paragraph">
            <wp:posOffset>238125</wp:posOffset>
          </wp:positionV>
          <wp:extent cx="4343400" cy="902970"/>
          <wp:effectExtent b="0" l="0" r="0" t="0"/>
          <wp:wrapNone/>
          <wp:docPr id="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343400" cy="90297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6"/>
      <w:numFmt w:val="decimal"/>
      <w:lvlText w:val="%1"/>
      <w:lvlJc w:val="left"/>
      <w:pPr>
        <w:ind w:left="2" w:hanging="358.99999999999994"/>
      </w:pPr>
      <w:rPr/>
    </w:lvl>
    <w:lvl w:ilvl="1">
      <w:start w:val="1"/>
      <w:numFmt w:val="decimal"/>
      <w:lvlText w:val="%1.%2"/>
      <w:lvlJc w:val="left"/>
      <w:pPr>
        <w:ind w:left="2" w:hanging="358.99999999999994"/>
      </w:pPr>
      <w:rPr>
        <w:rFonts w:ascii="Times New Roman" w:cs="Times New Roman" w:eastAsia="Times New Roman" w:hAnsi="Times New Roman"/>
        <w:b w:val="0"/>
        <w:bCs w:val="0"/>
        <w:i w:val="0"/>
        <w:iCs w:val="0"/>
        <w:sz w:val="24"/>
        <w:szCs w:val="24"/>
      </w:rPr>
    </w:lvl>
    <w:lvl w:ilvl="2">
      <w:start w:val="0"/>
      <w:numFmt w:val="bullet"/>
      <w:lvlText w:val="•"/>
      <w:lvlJc w:val="left"/>
      <w:pPr>
        <w:ind w:left="2069" w:hanging="359"/>
      </w:pPr>
      <w:rPr/>
    </w:lvl>
    <w:lvl w:ilvl="3">
      <w:start w:val="0"/>
      <w:numFmt w:val="bullet"/>
      <w:lvlText w:val="•"/>
      <w:lvlJc w:val="left"/>
      <w:pPr>
        <w:ind w:left="3104" w:hanging="359"/>
      </w:pPr>
      <w:rPr/>
    </w:lvl>
    <w:lvl w:ilvl="4">
      <w:start w:val="0"/>
      <w:numFmt w:val="bullet"/>
      <w:lvlText w:val="•"/>
      <w:lvlJc w:val="left"/>
      <w:pPr>
        <w:ind w:left="4139" w:hanging="359"/>
      </w:pPr>
      <w:rPr/>
    </w:lvl>
    <w:lvl w:ilvl="5">
      <w:start w:val="0"/>
      <w:numFmt w:val="bullet"/>
      <w:lvlText w:val="•"/>
      <w:lvlJc w:val="left"/>
      <w:pPr>
        <w:ind w:left="5174" w:hanging="359"/>
      </w:pPr>
      <w:rPr/>
    </w:lvl>
    <w:lvl w:ilvl="6">
      <w:start w:val="0"/>
      <w:numFmt w:val="bullet"/>
      <w:lvlText w:val="•"/>
      <w:lvlJc w:val="left"/>
      <w:pPr>
        <w:ind w:left="6209" w:hanging="359"/>
      </w:pPr>
      <w:rPr/>
    </w:lvl>
    <w:lvl w:ilvl="7">
      <w:start w:val="0"/>
      <w:numFmt w:val="bullet"/>
      <w:lvlText w:val="•"/>
      <w:lvlJc w:val="left"/>
      <w:pPr>
        <w:ind w:left="7243" w:hanging="359"/>
      </w:pPr>
      <w:rPr/>
    </w:lvl>
    <w:lvl w:ilvl="8">
      <w:start w:val="0"/>
      <w:numFmt w:val="bullet"/>
      <w:lvlText w:val="•"/>
      <w:lvlJc w:val="left"/>
      <w:pPr>
        <w:ind w:left="8278" w:hanging="359"/>
      </w:pPr>
      <w:rPr/>
    </w:lvl>
  </w:abstractNum>
  <w:abstractNum w:abstractNumId="2">
    <w:lvl w:ilvl="0">
      <w:start w:val="1"/>
      <w:numFmt w:val="lowerLetter"/>
      <w:lvlText w:val="%1)"/>
      <w:lvlJc w:val="left"/>
      <w:pPr>
        <w:ind w:left="2" w:hanging="187"/>
      </w:pPr>
      <w:rPr>
        <w:rFonts w:ascii="Times New Roman" w:cs="Times New Roman" w:eastAsia="Times New Roman" w:hAnsi="Times New Roman"/>
        <w:b w:val="0"/>
        <w:bCs w:val="0"/>
        <w:i w:val="0"/>
        <w:iCs w:val="0"/>
        <w:sz w:val="22"/>
        <w:szCs w:val="22"/>
      </w:rPr>
    </w:lvl>
    <w:lvl w:ilvl="1">
      <w:start w:val="0"/>
      <w:numFmt w:val="bullet"/>
      <w:lvlText w:val="•"/>
      <w:lvlJc w:val="left"/>
      <w:pPr>
        <w:ind w:left="1034" w:hanging="187"/>
      </w:pPr>
      <w:rPr/>
    </w:lvl>
    <w:lvl w:ilvl="2">
      <w:start w:val="0"/>
      <w:numFmt w:val="bullet"/>
      <w:lvlText w:val="•"/>
      <w:lvlJc w:val="left"/>
      <w:pPr>
        <w:ind w:left="2069" w:hanging="186.99999999999977"/>
      </w:pPr>
      <w:rPr/>
    </w:lvl>
    <w:lvl w:ilvl="3">
      <w:start w:val="0"/>
      <w:numFmt w:val="bullet"/>
      <w:lvlText w:val="•"/>
      <w:lvlJc w:val="left"/>
      <w:pPr>
        <w:ind w:left="3104" w:hanging="187"/>
      </w:pPr>
      <w:rPr/>
    </w:lvl>
    <w:lvl w:ilvl="4">
      <w:start w:val="0"/>
      <w:numFmt w:val="bullet"/>
      <w:lvlText w:val="•"/>
      <w:lvlJc w:val="left"/>
      <w:pPr>
        <w:ind w:left="4139" w:hanging="187"/>
      </w:pPr>
      <w:rPr/>
    </w:lvl>
    <w:lvl w:ilvl="5">
      <w:start w:val="0"/>
      <w:numFmt w:val="bullet"/>
      <w:lvlText w:val="•"/>
      <w:lvlJc w:val="left"/>
      <w:pPr>
        <w:ind w:left="5174" w:hanging="187"/>
      </w:pPr>
      <w:rPr/>
    </w:lvl>
    <w:lvl w:ilvl="6">
      <w:start w:val="0"/>
      <w:numFmt w:val="bullet"/>
      <w:lvlText w:val="•"/>
      <w:lvlJc w:val="left"/>
      <w:pPr>
        <w:ind w:left="6209" w:hanging="187.0000000000009"/>
      </w:pPr>
      <w:rPr/>
    </w:lvl>
    <w:lvl w:ilvl="7">
      <w:start w:val="0"/>
      <w:numFmt w:val="bullet"/>
      <w:lvlText w:val="•"/>
      <w:lvlJc w:val="left"/>
      <w:pPr>
        <w:ind w:left="7243" w:hanging="187.0000000000009"/>
      </w:pPr>
      <w:rPr/>
    </w:lvl>
    <w:lvl w:ilvl="8">
      <w:start w:val="0"/>
      <w:numFmt w:val="bullet"/>
      <w:lvlText w:val="•"/>
      <w:lvlJc w:val="left"/>
      <w:pPr>
        <w:ind w:left="8278" w:hanging="187.0000000000009"/>
      </w:pPr>
      <w:rPr/>
    </w:lvl>
  </w:abstractNum>
  <w:abstractNum w:abstractNumId="3">
    <w:lvl w:ilvl="0">
      <w:start w:val="0"/>
      <w:numFmt w:val="bullet"/>
      <w:lvlText w:val="•"/>
      <w:lvlJc w:val="left"/>
      <w:pPr>
        <w:ind w:left="2" w:hanging="144"/>
      </w:pPr>
      <w:rPr>
        <w:rFonts w:ascii="Times New Roman" w:cs="Times New Roman" w:eastAsia="Times New Roman" w:hAnsi="Times New Roman"/>
        <w:b w:val="0"/>
        <w:bCs w:val="0"/>
        <w:i w:val="0"/>
        <w:iCs w:val="0"/>
        <w:sz w:val="24"/>
        <w:szCs w:val="24"/>
      </w:rPr>
    </w:lvl>
    <w:lvl w:ilvl="1">
      <w:start w:val="0"/>
      <w:numFmt w:val="bullet"/>
      <w:lvlText w:val="•"/>
      <w:lvlJc w:val="left"/>
      <w:pPr>
        <w:ind w:left="1034" w:hanging="144"/>
      </w:pPr>
      <w:rPr/>
    </w:lvl>
    <w:lvl w:ilvl="2">
      <w:start w:val="0"/>
      <w:numFmt w:val="bullet"/>
      <w:lvlText w:val="•"/>
      <w:lvlJc w:val="left"/>
      <w:pPr>
        <w:ind w:left="2069" w:hanging="144"/>
      </w:pPr>
      <w:rPr/>
    </w:lvl>
    <w:lvl w:ilvl="3">
      <w:start w:val="0"/>
      <w:numFmt w:val="bullet"/>
      <w:lvlText w:val="•"/>
      <w:lvlJc w:val="left"/>
      <w:pPr>
        <w:ind w:left="3104" w:hanging="144"/>
      </w:pPr>
      <w:rPr/>
    </w:lvl>
    <w:lvl w:ilvl="4">
      <w:start w:val="0"/>
      <w:numFmt w:val="bullet"/>
      <w:lvlText w:val="•"/>
      <w:lvlJc w:val="left"/>
      <w:pPr>
        <w:ind w:left="4139" w:hanging="144"/>
      </w:pPr>
      <w:rPr/>
    </w:lvl>
    <w:lvl w:ilvl="5">
      <w:start w:val="0"/>
      <w:numFmt w:val="bullet"/>
      <w:lvlText w:val="•"/>
      <w:lvlJc w:val="left"/>
      <w:pPr>
        <w:ind w:left="5174" w:hanging="144"/>
      </w:pPr>
      <w:rPr/>
    </w:lvl>
    <w:lvl w:ilvl="6">
      <w:start w:val="0"/>
      <w:numFmt w:val="bullet"/>
      <w:lvlText w:val="•"/>
      <w:lvlJc w:val="left"/>
      <w:pPr>
        <w:ind w:left="6209" w:hanging="144"/>
      </w:pPr>
      <w:rPr/>
    </w:lvl>
    <w:lvl w:ilvl="7">
      <w:start w:val="0"/>
      <w:numFmt w:val="bullet"/>
      <w:lvlText w:val="•"/>
      <w:lvlJc w:val="left"/>
      <w:pPr>
        <w:ind w:left="7243" w:hanging="144"/>
      </w:pPr>
      <w:rPr/>
    </w:lvl>
    <w:lvl w:ilvl="8">
      <w:start w:val="0"/>
      <w:numFmt w:val="bullet"/>
      <w:lvlText w:val="•"/>
      <w:lvlJc w:val="left"/>
      <w:pPr>
        <w:ind w:left="8278" w:hanging="144"/>
      </w:pPr>
      <w:rPr/>
    </w:lvl>
  </w:abstractNum>
  <w:abstractNum w:abstractNumId="4">
    <w:lvl w:ilvl="0">
      <w:start w:val="1"/>
      <w:numFmt w:val="lowerLetter"/>
      <w:lvlText w:val="%1)"/>
      <w:lvlJc w:val="left"/>
      <w:pPr>
        <w:ind w:left="2" w:hanging="187"/>
      </w:pPr>
      <w:rPr>
        <w:rFonts w:ascii="Times New Roman" w:cs="Times New Roman" w:eastAsia="Times New Roman" w:hAnsi="Times New Roman"/>
        <w:b w:val="0"/>
        <w:bCs w:val="0"/>
        <w:i w:val="0"/>
        <w:iCs w:val="0"/>
        <w:sz w:val="22"/>
        <w:szCs w:val="22"/>
      </w:rPr>
    </w:lvl>
    <w:lvl w:ilvl="1">
      <w:start w:val="0"/>
      <w:numFmt w:val="bullet"/>
      <w:lvlText w:val="•"/>
      <w:lvlJc w:val="left"/>
      <w:pPr>
        <w:ind w:left="1034" w:hanging="187"/>
      </w:pPr>
      <w:rPr/>
    </w:lvl>
    <w:lvl w:ilvl="2">
      <w:start w:val="0"/>
      <w:numFmt w:val="bullet"/>
      <w:lvlText w:val="•"/>
      <w:lvlJc w:val="left"/>
      <w:pPr>
        <w:ind w:left="2069" w:hanging="186.99999999999977"/>
      </w:pPr>
      <w:rPr/>
    </w:lvl>
    <w:lvl w:ilvl="3">
      <w:start w:val="0"/>
      <w:numFmt w:val="bullet"/>
      <w:lvlText w:val="•"/>
      <w:lvlJc w:val="left"/>
      <w:pPr>
        <w:ind w:left="3104" w:hanging="187"/>
      </w:pPr>
      <w:rPr/>
    </w:lvl>
    <w:lvl w:ilvl="4">
      <w:start w:val="0"/>
      <w:numFmt w:val="bullet"/>
      <w:lvlText w:val="•"/>
      <w:lvlJc w:val="left"/>
      <w:pPr>
        <w:ind w:left="4139" w:hanging="187"/>
      </w:pPr>
      <w:rPr/>
    </w:lvl>
    <w:lvl w:ilvl="5">
      <w:start w:val="0"/>
      <w:numFmt w:val="bullet"/>
      <w:lvlText w:val="•"/>
      <w:lvlJc w:val="left"/>
      <w:pPr>
        <w:ind w:left="5174" w:hanging="187"/>
      </w:pPr>
      <w:rPr/>
    </w:lvl>
    <w:lvl w:ilvl="6">
      <w:start w:val="0"/>
      <w:numFmt w:val="bullet"/>
      <w:lvlText w:val="•"/>
      <w:lvlJc w:val="left"/>
      <w:pPr>
        <w:ind w:left="6209" w:hanging="187.0000000000009"/>
      </w:pPr>
      <w:rPr/>
    </w:lvl>
    <w:lvl w:ilvl="7">
      <w:start w:val="0"/>
      <w:numFmt w:val="bullet"/>
      <w:lvlText w:val="•"/>
      <w:lvlJc w:val="left"/>
      <w:pPr>
        <w:ind w:left="7243" w:hanging="187.0000000000009"/>
      </w:pPr>
      <w:rPr/>
    </w:lvl>
    <w:lvl w:ilvl="8">
      <w:start w:val="0"/>
      <w:numFmt w:val="bullet"/>
      <w:lvlText w:val="•"/>
      <w:lvlJc w:val="left"/>
      <w:pPr>
        <w:ind w:left="8278" w:hanging="187.0000000000009"/>
      </w:pPr>
      <w:rPr/>
    </w:lvl>
  </w:abstractNum>
  <w:abstractNum w:abstractNumId="5">
    <w:lvl w:ilvl="0">
      <w:start w:val="1"/>
      <w:numFmt w:val="lowerLetter"/>
      <w:lvlText w:val="%1)"/>
      <w:lvlJc w:val="left"/>
      <w:pPr>
        <w:ind w:left="188" w:hanging="187"/>
      </w:pPr>
      <w:rPr>
        <w:rFonts w:ascii="Times New Roman" w:cs="Times New Roman" w:eastAsia="Times New Roman" w:hAnsi="Times New Roman"/>
        <w:b w:val="0"/>
        <w:bCs w:val="0"/>
        <w:i w:val="0"/>
        <w:iCs w:val="0"/>
        <w:sz w:val="22"/>
        <w:szCs w:val="22"/>
      </w:rPr>
    </w:lvl>
    <w:lvl w:ilvl="1">
      <w:start w:val="0"/>
      <w:numFmt w:val="bullet"/>
      <w:lvlText w:val="•"/>
      <w:lvlJc w:val="left"/>
      <w:pPr>
        <w:ind w:left="1196" w:hanging="187.0000000000001"/>
      </w:pPr>
      <w:rPr/>
    </w:lvl>
    <w:lvl w:ilvl="2">
      <w:start w:val="0"/>
      <w:numFmt w:val="bullet"/>
      <w:lvlText w:val="•"/>
      <w:lvlJc w:val="left"/>
      <w:pPr>
        <w:ind w:left="2213" w:hanging="186.99999999999977"/>
      </w:pPr>
      <w:rPr/>
    </w:lvl>
    <w:lvl w:ilvl="3">
      <w:start w:val="0"/>
      <w:numFmt w:val="bullet"/>
      <w:lvlText w:val="•"/>
      <w:lvlJc w:val="left"/>
      <w:pPr>
        <w:ind w:left="3230" w:hanging="187"/>
      </w:pPr>
      <w:rPr/>
    </w:lvl>
    <w:lvl w:ilvl="4">
      <w:start w:val="0"/>
      <w:numFmt w:val="bullet"/>
      <w:lvlText w:val="•"/>
      <w:lvlJc w:val="left"/>
      <w:pPr>
        <w:ind w:left="4247" w:hanging="187"/>
      </w:pPr>
      <w:rPr/>
    </w:lvl>
    <w:lvl w:ilvl="5">
      <w:start w:val="0"/>
      <w:numFmt w:val="bullet"/>
      <w:lvlText w:val="•"/>
      <w:lvlJc w:val="left"/>
      <w:pPr>
        <w:ind w:left="5264" w:hanging="187"/>
      </w:pPr>
      <w:rPr/>
    </w:lvl>
    <w:lvl w:ilvl="6">
      <w:start w:val="0"/>
      <w:numFmt w:val="bullet"/>
      <w:lvlText w:val="•"/>
      <w:lvlJc w:val="left"/>
      <w:pPr>
        <w:ind w:left="6281" w:hanging="187"/>
      </w:pPr>
      <w:rPr/>
    </w:lvl>
    <w:lvl w:ilvl="7">
      <w:start w:val="0"/>
      <w:numFmt w:val="bullet"/>
      <w:lvlText w:val="•"/>
      <w:lvlJc w:val="left"/>
      <w:pPr>
        <w:ind w:left="7297" w:hanging="187"/>
      </w:pPr>
      <w:rPr/>
    </w:lvl>
    <w:lvl w:ilvl="8">
      <w:start w:val="0"/>
      <w:numFmt w:val="bullet"/>
      <w:lvlText w:val="•"/>
      <w:lvlJc w:val="left"/>
      <w:pPr>
        <w:ind w:left="8314" w:hanging="187.0000000000009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183" w:hanging="181"/>
      </w:pPr>
      <w:rPr>
        <w:rFonts w:ascii="Times New Roman" w:cs="Times New Roman" w:eastAsia="Times New Roman" w:hAnsi="Times New Roman"/>
        <w:b w:val="1"/>
        <w:bCs w:val="1"/>
        <w:i w:val="0"/>
        <w:iCs w:val="0"/>
        <w:sz w:val="22"/>
        <w:szCs w:val="22"/>
      </w:rPr>
    </w:lvl>
    <w:lvl w:ilvl="1">
      <w:start w:val="1"/>
      <w:numFmt w:val="decimal"/>
      <w:lvlText w:val="%1.%2"/>
      <w:lvlJc w:val="left"/>
      <w:pPr>
        <w:ind w:left="422" w:hanging="421"/>
      </w:pPr>
      <w:rPr>
        <w:rFonts w:ascii="Times New Roman" w:cs="Times New Roman" w:eastAsia="Times New Roman" w:hAnsi="Times New Roman"/>
        <w:b w:val="0"/>
        <w:bCs w:val="0"/>
        <w:i w:val="0"/>
        <w:iCs w:val="0"/>
        <w:sz w:val="24"/>
        <w:szCs w:val="24"/>
      </w:rPr>
    </w:lvl>
    <w:lvl w:ilvl="2">
      <w:start w:val="0"/>
      <w:numFmt w:val="bullet"/>
      <w:lvlText w:val="•"/>
      <w:lvlJc w:val="left"/>
      <w:pPr>
        <w:ind w:left="360" w:hanging="421"/>
      </w:pPr>
      <w:rPr/>
    </w:lvl>
    <w:lvl w:ilvl="3">
      <w:start w:val="0"/>
      <w:numFmt w:val="bullet"/>
      <w:lvlText w:val="•"/>
      <w:lvlJc w:val="left"/>
      <w:pPr>
        <w:ind w:left="420" w:hanging="421"/>
      </w:pPr>
      <w:rPr/>
    </w:lvl>
    <w:lvl w:ilvl="4">
      <w:start w:val="0"/>
      <w:numFmt w:val="bullet"/>
      <w:lvlText w:val="•"/>
      <w:lvlJc w:val="left"/>
      <w:pPr>
        <w:ind w:left="1838" w:hanging="420.9999999999998"/>
      </w:pPr>
      <w:rPr/>
    </w:lvl>
    <w:lvl w:ilvl="5">
      <w:start w:val="0"/>
      <w:numFmt w:val="bullet"/>
      <w:lvlText w:val="•"/>
      <w:lvlJc w:val="left"/>
      <w:pPr>
        <w:ind w:left="3256" w:hanging="421"/>
      </w:pPr>
      <w:rPr/>
    </w:lvl>
    <w:lvl w:ilvl="6">
      <w:start w:val="0"/>
      <w:numFmt w:val="bullet"/>
      <w:lvlText w:val="•"/>
      <w:lvlJc w:val="left"/>
      <w:pPr>
        <w:ind w:left="4675" w:hanging="421"/>
      </w:pPr>
      <w:rPr/>
    </w:lvl>
    <w:lvl w:ilvl="7">
      <w:start w:val="0"/>
      <w:numFmt w:val="bullet"/>
      <w:lvlText w:val="•"/>
      <w:lvlJc w:val="left"/>
      <w:pPr>
        <w:ind w:left="6093" w:hanging="421.0000000000009"/>
      </w:pPr>
      <w:rPr/>
    </w:lvl>
    <w:lvl w:ilvl="8">
      <w:start w:val="0"/>
      <w:numFmt w:val="bullet"/>
      <w:lvlText w:val="•"/>
      <w:lvlJc w:val="left"/>
      <w:pPr>
        <w:ind w:left="7511" w:hanging="421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pl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ind w:left="2"/>
    </w:pPr>
    <w:rPr>
      <w:b w:val="1"/>
      <w:bCs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kstpodstawowy">
    <w:name w:val="Body Text"/>
    <w:basedOn w:val="Normalny"/>
    <w:uiPriority w:val="1"/>
    <w:qFormat w:val="1"/>
    <w:rPr>
      <w:sz w:val="24"/>
      <w:szCs w:val="24"/>
    </w:rPr>
  </w:style>
  <w:style w:type="paragraph" w:styleId="Akapitzlist">
    <w:name w:val="List Paragraph"/>
    <w:basedOn w:val="Normalny"/>
    <w:uiPriority w:val="1"/>
    <w:qFormat w:val="1"/>
    <w:pPr>
      <w:ind w:left="2"/>
      <w:jc w:val="both"/>
    </w:pPr>
  </w:style>
  <w:style w:type="paragraph" w:styleId="TableParagraph" w:customStyle="1">
    <w:name w:val="Table Paragraph"/>
    <w:basedOn w:val="Normalny"/>
    <w:uiPriority w:val="1"/>
    <w:qFormat w:val="1"/>
  </w:style>
  <w:style w:type="paragraph" w:styleId="Nagwek">
    <w:name w:val="header"/>
    <w:basedOn w:val="Normalny"/>
    <w:link w:val="NagwekZnak"/>
    <w:uiPriority w:val="99"/>
    <w:unhideWhenUsed w:val="1"/>
    <w:rsid w:val="00AC6496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AC6496"/>
    <w:rPr>
      <w:rFonts w:ascii="Times New Roman" w:cs="Times New Roman" w:eastAsia="Times New Roman" w:hAnsi="Times New Roman"/>
      <w:lang w:val="pl-PL"/>
    </w:rPr>
  </w:style>
  <w:style w:type="paragraph" w:styleId="Stopka">
    <w:name w:val="footer"/>
    <w:basedOn w:val="Normalny"/>
    <w:link w:val="StopkaZnak"/>
    <w:uiPriority w:val="99"/>
    <w:unhideWhenUsed w:val="1"/>
    <w:rsid w:val="00AC6496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AC6496"/>
    <w:rPr>
      <w:rFonts w:ascii="Times New Roman" w:cs="Times New Roman" w:eastAsia="Times New Roman" w:hAnsi="Times New Roman"/>
      <w:lang w:val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2VdY5icovejkmb46REFTmBF7FqA==">CgMxLjAyCGguZ2pkZ3hzOAByITFtMkZkbFFmZkxIbWs4Rm5MOXV2TTNNQ2JrZUlIcm9Caw==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2025-11-30T07:56:00Z</dcterms:created>
  <dc:creator>Katarzyna Wojdyła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2025-11-21T00:00:00Z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2025-11-30T00:00:00Z</vt:filetime>
  </property>
  <property fmtid="{D5CDD505-2E9C-101B-9397-08002B2CF9AE}" pid="5" name="Producer">
    <vt:lpwstr>Microsoft® Word LTSC</vt:lpwstr>
  </property>
</Properties>
</file>